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北京市委组织部2026</w:t>
      </w:r>
      <w:r>
        <w:rPr>
          <w:rFonts w:hint="default"/>
          <w:b/>
          <w:sz w:val="36"/>
          <w:szCs w:val="36"/>
        </w:rPr>
        <w:t>年北京政务云服务（政务外网应用系统）基础服务项目</w:t>
      </w:r>
      <w:r>
        <w:rPr>
          <w:b/>
          <w:sz w:val="36"/>
          <w:szCs w:val="36"/>
        </w:rPr>
        <w:t>采购需求</w:t>
      </w:r>
    </w:p>
    <w:p>
      <w:pPr>
        <w:spacing w:line="360" w:lineRule="auto"/>
        <w:contextualSpacing/>
        <w:rPr>
          <w:sz w:val="24"/>
        </w:rPr>
      </w:pPr>
    </w:p>
    <w:p>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pPr>
        <w:spacing w:line="360" w:lineRule="auto"/>
        <w:contextualSpacing/>
        <w:rPr>
          <w:bCs/>
          <w:sz w:val="24"/>
        </w:rPr>
      </w:pPr>
      <w:r>
        <w:rPr>
          <w:bCs/>
          <w:sz w:val="24"/>
        </w:rPr>
        <w:t>1. 采购标的</w:t>
      </w:r>
    </w:p>
    <w:tbl>
      <w:tblPr>
        <w:tblStyle w:val="5"/>
        <w:tblW w:w="8041" w:type="dxa"/>
        <w:tblInd w:w="0" w:type="dxa"/>
        <w:tblLayout w:type="fixed"/>
        <w:tblCellMar>
          <w:top w:w="0" w:type="dxa"/>
          <w:left w:w="0" w:type="dxa"/>
          <w:bottom w:w="0" w:type="dxa"/>
          <w:right w:w="0" w:type="dxa"/>
        </w:tblCellMar>
      </w:tblPr>
      <w:tblGrid>
        <w:gridCol w:w="600"/>
        <w:gridCol w:w="2099"/>
        <w:gridCol w:w="2716"/>
        <w:gridCol w:w="780"/>
        <w:gridCol w:w="1846"/>
      </w:tblGrid>
      <w:tr>
        <w:tblPrEx>
          <w:tblLayout w:type="fixed"/>
          <w:tblCellMar>
            <w:top w:w="0" w:type="dxa"/>
            <w:left w:w="0" w:type="dxa"/>
            <w:bottom w:w="0" w:type="dxa"/>
            <w:right w:w="0" w:type="dxa"/>
          </w:tblCellMar>
        </w:tblPrEx>
        <w:trPr>
          <w:trHeight w:val="525" w:hRule="atLeast"/>
        </w:trPr>
        <w:tc>
          <w:tcPr>
            <w:tcW w:w="60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2099"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服务项</w:t>
            </w:r>
          </w:p>
        </w:tc>
        <w:tc>
          <w:tcPr>
            <w:tcW w:w="271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服务范围及内容</w:t>
            </w:r>
          </w:p>
        </w:tc>
        <w:tc>
          <w:tcPr>
            <w:tcW w:w="780"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1846" w:type="dxa"/>
            <w:tcBorders>
              <w:top w:val="single" w:color="000000" w:sz="8" w:space="0"/>
              <w:left w:val="nil"/>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数量</w:t>
            </w:r>
          </w:p>
        </w:tc>
      </w:tr>
      <w:tr>
        <w:tblPrEx>
          <w:tblLayout w:type="fixed"/>
          <w:tblCellMar>
            <w:top w:w="0" w:type="dxa"/>
            <w:left w:w="0" w:type="dxa"/>
            <w:bottom w:w="0" w:type="dxa"/>
            <w:right w:w="0"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平台云主机服务（包含X86、ARM、C86）-vCPU</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主频不低于2.4GHz</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CPU</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bidi="ar"/>
              </w:rPr>
            </w:pPr>
            <w:r>
              <w:rPr>
                <w:rFonts w:hint="eastAsia" w:ascii="宋体" w:hAnsi="宋体" w:eastAsia="宋体" w:cs="宋体"/>
                <w:i w:val="0"/>
                <w:color w:val="000000"/>
                <w:kern w:val="0"/>
                <w:sz w:val="21"/>
                <w:szCs w:val="21"/>
                <w:u w:val="none"/>
                <w:lang w:val="en-US" w:eastAsia="zh-CN" w:bidi="ar"/>
              </w:rPr>
              <w:t>20079（服务期内）</w:t>
            </w:r>
          </w:p>
        </w:tc>
      </w:tr>
      <w:tr>
        <w:tblPrEx>
          <w:tblLayout w:type="fixed"/>
          <w:tblCellMar>
            <w:top w:w="0" w:type="dxa"/>
            <w:left w:w="0" w:type="dxa"/>
            <w:bottom w:w="0" w:type="dxa"/>
            <w:right w:w="0"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平台云主机服务-内存</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内存</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bidi="ar"/>
              </w:rPr>
            </w:pPr>
            <w:r>
              <w:rPr>
                <w:rFonts w:hint="eastAsia" w:ascii="宋体" w:hAnsi="宋体" w:eastAsia="宋体" w:cs="宋体"/>
                <w:i w:val="0"/>
                <w:color w:val="000000"/>
                <w:kern w:val="0"/>
                <w:sz w:val="21"/>
                <w:szCs w:val="21"/>
                <w:u w:val="none"/>
                <w:lang w:val="en-US" w:eastAsia="zh-CN" w:bidi="ar"/>
              </w:rPr>
              <w:t>71901（服务期内）</w:t>
            </w:r>
          </w:p>
        </w:tc>
      </w:tr>
      <w:tr>
        <w:tblPrEx>
          <w:tblLayout w:type="fixed"/>
          <w:tblCellMar>
            <w:top w:w="0" w:type="dxa"/>
            <w:left w:w="0" w:type="dxa"/>
            <w:bottom w:w="0" w:type="dxa"/>
            <w:right w:w="0"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普通性能存储</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单盘技术指标：单盘IOPS；1000-3000）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center" w:pos="908"/>
              </w:tabs>
              <w:jc w:val="left"/>
              <w:textAlignment w:val="center"/>
              <w:rPr>
                <w:rFonts w:hint="eastAsia" w:ascii="宋体" w:hAnsi="宋体" w:eastAsia="宋体" w:cs="宋体"/>
                <w:i w:val="0"/>
                <w:color w:val="000000"/>
                <w:kern w:val="0"/>
                <w:sz w:val="21"/>
                <w:szCs w:val="21"/>
                <w:u w:val="none"/>
                <w:lang w:val="en-US" w:bidi="ar"/>
              </w:rPr>
            </w:pPr>
            <w:r>
              <w:rPr>
                <w:rFonts w:hint="eastAsia" w:ascii="宋体" w:hAnsi="宋体" w:eastAsia="宋体" w:cs="宋体"/>
                <w:i w:val="0"/>
                <w:color w:val="000000"/>
                <w:kern w:val="0"/>
                <w:sz w:val="21"/>
                <w:szCs w:val="21"/>
                <w:u w:val="none"/>
                <w:lang w:val="en-US" w:eastAsia="zh-CN" w:bidi="ar"/>
              </w:rPr>
              <w:t>360000</w:t>
            </w:r>
            <w:r>
              <w:rPr>
                <w:rFonts w:hint="eastAsia" w:ascii="宋体" w:hAnsi="宋体" w:eastAsia="宋体" w:cs="宋体"/>
                <w:i w:val="0"/>
                <w:color w:val="000000"/>
                <w:kern w:val="0"/>
                <w:sz w:val="21"/>
                <w:szCs w:val="21"/>
                <w:u w:val="none"/>
                <w:lang w:val="en-US" w:eastAsia="zh-CN" w:bidi="ar"/>
              </w:rPr>
              <w:tab/>
            </w:r>
            <w:r>
              <w:rPr>
                <w:rFonts w:hint="eastAsia" w:ascii="宋体" w:hAnsi="宋体" w:eastAsia="宋体" w:cs="宋体"/>
                <w:i w:val="0"/>
                <w:color w:val="000000"/>
                <w:kern w:val="0"/>
                <w:sz w:val="21"/>
                <w:szCs w:val="21"/>
                <w:u w:val="none"/>
                <w:lang w:val="en-US" w:eastAsia="zh-CN" w:bidi="ar"/>
              </w:rPr>
              <w:t>（服务期内）</w:t>
            </w:r>
          </w:p>
        </w:tc>
      </w:tr>
      <w:tr>
        <w:tblPrEx>
          <w:tblLayout w:type="fixed"/>
          <w:tblCellMar>
            <w:top w:w="0" w:type="dxa"/>
            <w:left w:w="0" w:type="dxa"/>
            <w:bottom w:w="0" w:type="dxa"/>
            <w:right w:w="0"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高性能存储</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单盘技术指标：单盘IOPS；3000-20000</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bidi="ar"/>
              </w:rPr>
            </w:pPr>
            <w:r>
              <w:rPr>
                <w:rFonts w:hint="eastAsia" w:ascii="宋体" w:hAnsi="宋体" w:eastAsia="宋体" w:cs="宋体"/>
                <w:i w:val="0"/>
                <w:color w:val="000000"/>
                <w:kern w:val="0"/>
                <w:sz w:val="21"/>
                <w:szCs w:val="21"/>
                <w:u w:val="none"/>
                <w:lang w:val="en-US" w:eastAsia="zh-CN" w:bidi="ar"/>
              </w:rPr>
              <w:t>1506978（服务期内）</w:t>
            </w:r>
          </w:p>
        </w:tc>
      </w:tr>
      <w:tr>
        <w:tblPrEx>
          <w:tblLayout w:type="fixed"/>
          <w:tblCellMar>
            <w:top w:w="0" w:type="dxa"/>
            <w:left w:w="0" w:type="dxa"/>
            <w:bottom w:w="0" w:type="dxa"/>
            <w:right w:w="0" w:type="dxa"/>
          </w:tblCellMar>
        </w:tblPrEx>
        <w:trPr>
          <w:trHeight w:val="1125"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静态存储</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大容量、高可靠的数据存储服务，具备PB级线性扩展能力</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TB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tabs>
                <w:tab w:val="center" w:pos="908"/>
              </w:tabs>
              <w:jc w:val="left"/>
              <w:textAlignment w:val="center"/>
              <w:rPr>
                <w:rFonts w:hint="eastAsia" w:ascii="宋体" w:hAnsi="宋体" w:eastAsia="宋体" w:cs="宋体"/>
                <w:i w:val="0"/>
                <w:color w:val="000000"/>
                <w:kern w:val="0"/>
                <w:sz w:val="21"/>
                <w:szCs w:val="21"/>
                <w:u w:val="none"/>
                <w:lang w:bidi="ar"/>
              </w:rPr>
            </w:pPr>
            <w:r>
              <w:rPr>
                <w:rFonts w:hint="eastAsia" w:ascii="宋体" w:hAnsi="宋体" w:eastAsia="宋体" w:cs="宋体"/>
                <w:i w:val="0"/>
                <w:color w:val="000000"/>
                <w:kern w:val="0"/>
                <w:sz w:val="21"/>
                <w:szCs w:val="21"/>
                <w:u w:val="none"/>
                <w:lang w:val="en-US" w:eastAsia="zh-CN" w:bidi="ar"/>
              </w:rPr>
              <w:t>199.98</w:t>
            </w:r>
            <w:r>
              <w:rPr>
                <w:rFonts w:hint="eastAsia" w:ascii="宋体" w:hAnsi="宋体" w:eastAsia="宋体" w:cs="宋体"/>
                <w:i w:val="0"/>
                <w:color w:val="000000"/>
                <w:kern w:val="0"/>
                <w:sz w:val="21"/>
                <w:szCs w:val="21"/>
                <w:u w:val="none"/>
                <w:lang w:val="en-US" w:eastAsia="zh-CN" w:bidi="ar"/>
              </w:rPr>
              <w:tab/>
            </w:r>
            <w:r>
              <w:rPr>
                <w:rFonts w:hint="eastAsia" w:ascii="宋体" w:hAnsi="宋体" w:eastAsia="宋体" w:cs="宋体"/>
                <w:i w:val="0"/>
                <w:color w:val="000000"/>
                <w:kern w:val="0"/>
                <w:sz w:val="21"/>
                <w:szCs w:val="21"/>
                <w:u w:val="none"/>
                <w:lang w:val="en-US" w:eastAsia="zh-CN" w:bidi="ar"/>
              </w:rPr>
              <w:t>（服务期内）</w:t>
            </w:r>
          </w:p>
        </w:tc>
      </w:tr>
      <w:tr>
        <w:tblPrEx>
          <w:tblLayout w:type="fixed"/>
          <w:tblCellMar>
            <w:top w:w="0" w:type="dxa"/>
            <w:left w:w="0" w:type="dxa"/>
            <w:bottom w:w="0" w:type="dxa"/>
            <w:right w:w="0"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本地备份服务</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本地备份服务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GB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bidi="ar"/>
              </w:rPr>
            </w:pPr>
            <w:r>
              <w:rPr>
                <w:rFonts w:hint="eastAsia" w:ascii="宋体" w:hAnsi="宋体" w:eastAsia="宋体" w:cs="宋体"/>
                <w:i w:val="0"/>
                <w:color w:val="000000"/>
                <w:kern w:val="0"/>
                <w:sz w:val="21"/>
                <w:szCs w:val="21"/>
                <w:u w:val="none"/>
                <w:lang w:val="en-US" w:eastAsia="zh-CN" w:bidi="ar"/>
              </w:rPr>
              <w:t>360000（服务期内）</w:t>
            </w:r>
          </w:p>
        </w:tc>
      </w:tr>
      <w:tr>
        <w:tblPrEx>
          <w:tblLayout w:type="fixed"/>
          <w:tblCellMar>
            <w:top w:w="0" w:type="dxa"/>
            <w:left w:w="0" w:type="dxa"/>
            <w:bottom w:w="0" w:type="dxa"/>
            <w:right w:w="0"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链路服务1</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互联网链路带宽</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Mb</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bidi="ar"/>
              </w:rPr>
            </w:pPr>
            <w:r>
              <w:rPr>
                <w:rFonts w:hint="eastAsia" w:ascii="宋体" w:hAnsi="宋体" w:eastAsia="宋体" w:cs="宋体"/>
                <w:i w:val="0"/>
                <w:color w:val="000000"/>
                <w:kern w:val="0"/>
                <w:sz w:val="21"/>
                <w:szCs w:val="21"/>
                <w:u w:val="none"/>
                <w:lang w:val="en-US" w:eastAsia="zh-CN" w:bidi="ar"/>
              </w:rPr>
              <w:t>1800（服务期内）</w:t>
            </w:r>
          </w:p>
        </w:tc>
      </w:tr>
      <w:tr>
        <w:tblPrEx>
          <w:tblLayout w:type="fixed"/>
          <w:tblCellMar>
            <w:top w:w="0" w:type="dxa"/>
            <w:left w:w="0" w:type="dxa"/>
            <w:bottom w:w="0" w:type="dxa"/>
            <w:right w:w="0" w:type="dxa"/>
          </w:tblCellMar>
        </w:tblPrEx>
        <w:trPr>
          <w:trHeight w:val="90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链路服务2</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互联网IP地址租用服务、并提供备案服务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IP</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bidi="ar"/>
              </w:rPr>
            </w:pPr>
            <w:r>
              <w:rPr>
                <w:rFonts w:hint="eastAsia" w:ascii="宋体" w:hAnsi="宋体" w:eastAsia="宋体" w:cs="宋体"/>
                <w:i w:val="0"/>
                <w:color w:val="000000"/>
                <w:kern w:val="0"/>
                <w:sz w:val="21"/>
                <w:szCs w:val="21"/>
                <w:u w:val="none"/>
                <w:lang w:val="en-US" w:eastAsia="zh-CN" w:bidi="ar"/>
              </w:rPr>
              <w:t>90（服务期内）</w:t>
            </w:r>
          </w:p>
        </w:tc>
      </w:tr>
      <w:tr>
        <w:tblPrEx>
          <w:tblLayout w:type="fixed"/>
          <w:tblCellMar>
            <w:top w:w="0" w:type="dxa"/>
            <w:left w:w="0" w:type="dxa"/>
            <w:bottom w:w="0" w:type="dxa"/>
            <w:right w:w="0"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主机负载均衡服务</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主机负载均衡服务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IP</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bidi="ar"/>
              </w:rPr>
            </w:pPr>
            <w:r>
              <w:rPr>
                <w:rFonts w:hint="eastAsia" w:ascii="宋体" w:hAnsi="宋体" w:eastAsia="宋体" w:cs="宋体"/>
                <w:i w:val="0"/>
                <w:color w:val="000000"/>
                <w:kern w:val="0"/>
                <w:sz w:val="21"/>
                <w:szCs w:val="21"/>
                <w:u w:val="none"/>
                <w:lang w:val="en-US" w:eastAsia="zh-CN" w:bidi="ar"/>
              </w:rPr>
              <w:t>18（服务期内）</w:t>
            </w:r>
          </w:p>
        </w:tc>
      </w:tr>
      <w:tr>
        <w:tblPrEx>
          <w:tblLayout w:type="fixed"/>
          <w:tblCellMar>
            <w:top w:w="0" w:type="dxa"/>
            <w:left w:w="0" w:type="dxa"/>
            <w:bottom w:w="0" w:type="dxa"/>
            <w:right w:w="0" w:type="dxa"/>
          </w:tblCellMar>
        </w:tblPrEx>
        <w:trPr>
          <w:trHeight w:val="110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远程接入服务</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远程接入运维，每个账号结合身份验证，通过VPN远程接入堡垒机进行维护</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账号</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bidi="ar"/>
              </w:rPr>
            </w:pPr>
            <w:r>
              <w:rPr>
                <w:rFonts w:hint="eastAsia" w:ascii="宋体" w:hAnsi="宋体" w:eastAsia="宋体" w:cs="宋体"/>
                <w:i w:val="0"/>
                <w:color w:val="000000"/>
                <w:kern w:val="0"/>
                <w:sz w:val="21"/>
                <w:szCs w:val="21"/>
                <w:u w:val="none"/>
                <w:lang w:val="en-US" w:eastAsia="zh-CN" w:bidi="ar"/>
              </w:rPr>
              <w:t>315（服务期内）</w:t>
            </w:r>
          </w:p>
        </w:tc>
      </w:tr>
      <w:tr>
        <w:tblPrEx>
          <w:tblLayout w:type="fixed"/>
          <w:tblCellMar>
            <w:top w:w="0" w:type="dxa"/>
            <w:left w:w="0" w:type="dxa"/>
            <w:bottom w:w="0" w:type="dxa"/>
            <w:right w:w="0" w:type="dxa"/>
          </w:tblCellMar>
        </w:tblPrEx>
        <w:trPr>
          <w:trHeight w:val="450" w:hRule="atLeast"/>
        </w:trPr>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w:t>
            </w:r>
          </w:p>
        </w:tc>
        <w:tc>
          <w:tcPr>
            <w:tcW w:w="20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WAF防护</w:t>
            </w:r>
          </w:p>
        </w:tc>
        <w:tc>
          <w:tcPr>
            <w:tcW w:w="2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web应用防火墙服务</w:t>
            </w:r>
          </w:p>
        </w:tc>
        <w:tc>
          <w:tcPr>
            <w:tcW w:w="7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IP</w:t>
            </w:r>
          </w:p>
        </w:tc>
        <w:tc>
          <w:tcPr>
            <w:tcW w:w="18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bidi="ar"/>
              </w:rPr>
            </w:pPr>
            <w:r>
              <w:rPr>
                <w:rFonts w:hint="eastAsia" w:ascii="宋体" w:hAnsi="宋体" w:eastAsia="宋体" w:cs="宋体"/>
                <w:i w:val="0"/>
                <w:color w:val="000000"/>
                <w:kern w:val="0"/>
                <w:sz w:val="21"/>
                <w:szCs w:val="21"/>
                <w:u w:val="none"/>
                <w:lang w:val="en-US" w:eastAsia="zh-CN" w:bidi="ar"/>
              </w:rPr>
              <w:t>27（服务期内）</w:t>
            </w:r>
          </w:p>
        </w:tc>
      </w:tr>
    </w:tbl>
    <w:p>
      <w:pPr>
        <w:spacing w:line="360" w:lineRule="auto"/>
        <w:contextualSpacing/>
        <w:rPr>
          <w:bCs/>
          <w:sz w:val="24"/>
        </w:rPr>
      </w:pPr>
    </w:p>
    <w:p>
      <w:pPr>
        <w:spacing w:line="360" w:lineRule="auto"/>
        <w:contextualSpacing/>
        <w:rPr>
          <w:bCs/>
          <w:sz w:val="24"/>
        </w:rPr>
      </w:pPr>
      <w:r>
        <w:rPr>
          <w:bCs/>
          <w:sz w:val="24"/>
        </w:rPr>
        <w:t>2. 项目背景/项目概述（如有）</w:t>
      </w:r>
    </w:p>
    <w:p>
      <w:pPr>
        <w:tabs>
          <w:tab w:val="left" w:pos="420"/>
        </w:tabs>
        <w:spacing w:line="360" w:lineRule="auto"/>
        <w:ind w:firstLine="480" w:firstLineChars="200"/>
        <w:rPr>
          <w:b/>
          <w:sz w:val="24"/>
        </w:rPr>
      </w:pPr>
      <w:r>
        <w:rPr>
          <w:rFonts w:hint="eastAsia" w:ascii="宋体" w:hAnsi="宋体" w:cs="宋体"/>
          <w:color w:val="000000"/>
          <w:sz w:val="24"/>
        </w:rPr>
        <w:t>按照相关文件要求，以“入云为常态，不入云为例外”的工作原则，本项目租用云平台提供的计算服务、存储服务、网络服务等政务云基础服务，确保北京统计各信息系统政务云环境下可靠稳定安全运行。</w:t>
      </w:r>
    </w:p>
    <w:p>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pPr>
        <w:spacing w:line="360" w:lineRule="auto"/>
        <w:contextualSpacing/>
        <w:rPr>
          <w:i/>
          <w:sz w:val="24"/>
          <w:highlight w:val="none"/>
        </w:rPr>
      </w:pPr>
      <w:r>
        <w:rPr>
          <w:sz w:val="24"/>
        </w:rPr>
        <w:t>1. 交付（实施）的时间（期限</w:t>
      </w:r>
      <w:r>
        <w:rPr>
          <w:sz w:val="24"/>
          <w:highlight w:val="none"/>
        </w:rPr>
        <w:t>）和地点（范围）</w:t>
      </w:r>
    </w:p>
    <w:p>
      <w:pPr>
        <w:keepNext w:val="0"/>
        <w:keepLines w:val="0"/>
        <w:widowControl w:val="0"/>
        <w:suppressLineNumbers w:val="0"/>
        <w:tabs>
          <w:tab w:val="left" w:pos="420"/>
        </w:tabs>
        <w:adjustRightInd w:val="0"/>
        <w:snapToGrid w:val="0"/>
        <w:spacing w:before="0" w:beforeAutospacing="0" w:after="0" w:afterAutospacing="0" w:line="360" w:lineRule="auto"/>
        <w:ind w:left="0" w:right="0" w:firstLine="480" w:firstLineChars="200"/>
        <w:jc w:val="both"/>
        <w:textAlignment w:val="baseline"/>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交付（实施）的时间（期限）</w:t>
      </w:r>
      <w:r>
        <w:rPr>
          <w:rFonts w:hint="eastAsia" w:ascii="宋体" w:hAnsi="宋体" w:eastAsia="宋体" w:cs="宋体"/>
          <w:color w:val="000000"/>
          <w:sz w:val="24"/>
          <w:szCs w:val="24"/>
          <w:highlight w:val="none"/>
          <w:lang w:eastAsia="zh-CN"/>
        </w:rPr>
        <w:t>：自</w:t>
      </w:r>
      <w:r>
        <w:rPr>
          <w:rFonts w:hint="eastAsia" w:ascii="宋体" w:hAnsi="宋体" w:eastAsia="宋体" w:cs="宋体"/>
          <w:color w:val="000000"/>
          <w:sz w:val="24"/>
          <w:szCs w:val="24"/>
          <w:highlight w:val="none"/>
          <w:lang w:val="en-US" w:eastAsia="zh-CN"/>
        </w:rPr>
        <w:t>2026年4月 8日至2026年12月31日完成本项目全部工作内容。</w:t>
      </w:r>
    </w:p>
    <w:p>
      <w:pPr>
        <w:tabs>
          <w:tab w:val="left" w:pos="420"/>
        </w:tabs>
        <w:spacing w:line="360" w:lineRule="auto"/>
        <w:ind w:firstLine="480" w:firstLineChars="200"/>
        <w:rPr>
          <w:rFonts w:hint="eastAsia" w:ascii="宋体" w:hAnsi="宋体" w:cs="宋体"/>
          <w:i w:val="0"/>
          <w:color w:val="000000"/>
          <w:sz w:val="24"/>
          <w:highlight w:val="none"/>
        </w:rPr>
      </w:pPr>
      <w:r>
        <w:rPr>
          <w:rFonts w:hint="eastAsia" w:ascii="宋体" w:hAnsi="宋体" w:eastAsia="宋体" w:cs="宋体"/>
          <w:color w:val="000000"/>
          <w:sz w:val="24"/>
          <w:szCs w:val="24"/>
          <w:highlight w:val="none"/>
        </w:rPr>
        <w:t>交付（实施）</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地点（范围）</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kern w:val="2"/>
          <w:sz w:val="24"/>
          <w:szCs w:val="24"/>
          <w:highlight w:val="none"/>
          <w:vertAlign w:val="baseline"/>
          <w:lang w:val="en-US" w:eastAsia="zh-CN" w:bidi="ar"/>
        </w:rPr>
        <w:t>政务云机房</w:t>
      </w:r>
    </w:p>
    <w:p>
      <w:pPr>
        <w:spacing w:line="360" w:lineRule="auto"/>
        <w:contextualSpacing/>
        <w:rPr>
          <w:sz w:val="24"/>
          <w:highlight w:val="none"/>
        </w:rPr>
      </w:pPr>
      <w:r>
        <w:rPr>
          <w:sz w:val="24"/>
          <w:highlight w:val="none"/>
        </w:rPr>
        <w:t>2. 付款条件（进度和方式）</w:t>
      </w:r>
    </w:p>
    <w:p>
      <w:pPr>
        <w:tabs>
          <w:tab w:val="left" w:pos="420"/>
        </w:tabs>
        <w:spacing w:line="360" w:lineRule="auto"/>
        <w:ind w:firstLine="480" w:firstLineChars="200"/>
        <w:rPr>
          <w:b/>
          <w:i/>
          <w:sz w:val="24"/>
        </w:rPr>
      </w:pPr>
      <w:r>
        <w:rPr>
          <w:rFonts w:hint="eastAsia" w:ascii="宋体" w:hAnsi="宋体" w:eastAsia="宋体" w:cs="宋体"/>
          <w:color w:val="000000"/>
          <w:sz w:val="24"/>
          <w:szCs w:val="24"/>
          <w:highlight w:val="none"/>
        </w:rPr>
        <w:t>采购人将按照分期支付的方式向中标人支付服务费：双方在签署合同之日起三十个工作日内，采购人向中标人支付合同金额的50%；中标人在经采购人中期验收合格之日起十个工作日内，采购人向中标人支付合同金额的30%；中</w:t>
      </w:r>
      <w:r>
        <w:rPr>
          <w:rFonts w:hint="eastAsia" w:ascii="宋体" w:hAnsi="宋体" w:eastAsia="宋体" w:cs="宋体"/>
          <w:color w:val="000000"/>
          <w:sz w:val="24"/>
          <w:szCs w:val="24"/>
        </w:rPr>
        <w:t>标人提供合同项下的全部服务并经采购人终期验收合格之日起十个工作日内，采购人向中标人支付合同金额的20%。</w:t>
      </w:r>
    </w:p>
    <w:p>
      <w:pPr>
        <w:pStyle w:val="7"/>
        <w:numPr>
          <w:ilvl w:val="0"/>
          <w:numId w:val="1"/>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pPr>
        <w:spacing w:line="360" w:lineRule="auto"/>
        <w:contextualSpacing/>
        <w:rPr>
          <w:sz w:val="24"/>
        </w:rPr>
      </w:pPr>
      <w:r>
        <w:rPr>
          <w:sz w:val="24"/>
        </w:rPr>
        <w:t>1. 基本要求</w:t>
      </w:r>
    </w:p>
    <w:p>
      <w:pPr>
        <w:spacing w:line="360" w:lineRule="auto"/>
        <w:ind w:firstLine="480" w:firstLineChars="200"/>
        <w:contextualSpacing/>
        <w:rPr>
          <w:sz w:val="24"/>
        </w:rPr>
      </w:pPr>
      <w:r>
        <w:rPr>
          <w:sz w:val="24"/>
        </w:rPr>
        <w:t>1.1 采购标的需实现的功能或者目标</w:t>
      </w:r>
    </w:p>
    <w:p>
      <w:pPr>
        <w:tabs>
          <w:tab w:val="left" w:pos="420"/>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szCs w:val="24"/>
        </w:rPr>
        <w:t>提供政务云基础环境日常维护、应急响应等工作</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云资源</w:t>
      </w:r>
      <w:r>
        <w:rPr>
          <w:rFonts w:hint="eastAsia" w:ascii="宋体" w:hAnsi="宋体" w:eastAsia="宋体" w:cs="宋体"/>
          <w:color w:val="000000"/>
          <w:sz w:val="24"/>
          <w:szCs w:val="24"/>
        </w:rPr>
        <w:t>7*24</w:t>
      </w:r>
      <w:r>
        <w:rPr>
          <w:rFonts w:hint="eastAsia" w:ascii="宋体" w:hAnsi="宋体" w:eastAsia="宋体" w:cs="宋体"/>
          <w:color w:val="000000"/>
          <w:sz w:val="24"/>
          <w:szCs w:val="24"/>
          <w:lang w:val="en-US" w:eastAsia="zh-CN"/>
        </w:rPr>
        <w:t>正常供应</w:t>
      </w:r>
      <w:r>
        <w:rPr>
          <w:rFonts w:hint="eastAsia" w:ascii="宋体" w:hAnsi="宋体" w:eastAsia="宋体" w:cs="宋体"/>
          <w:color w:val="000000"/>
          <w:sz w:val="24"/>
          <w:szCs w:val="24"/>
        </w:rPr>
        <w:t>，做好重大活动和节假日应急值守保障服务，确保各系统在政务云环境中稳定运行。</w:t>
      </w:r>
    </w:p>
    <w:p>
      <w:pPr>
        <w:spacing w:line="360" w:lineRule="auto"/>
        <w:ind w:firstLine="480" w:firstLineChars="200"/>
        <w:contextualSpacing/>
        <w:rPr>
          <w:sz w:val="24"/>
        </w:rPr>
      </w:pPr>
      <w:r>
        <w:rPr>
          <w:sz w:val="24"/>
        </w:rPr>
        <w:t>1.2 需执行的国家相关标准、行业标准、地方标准或者其他标准、规范</w:t>
      </w:r>
    </w:p>
    <w:p>
      <w:pPr>
        <w:tabs>
          <w:tab w:val="left" w:pos="420"/>
        </w:tabs>
        <w:spacing w:line="360" w:lineRule="auto"/>
        <w:ind w:firstLine="480" w:firstLineChars="200"/>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lang w:eastAsia="zh-CN"/>
        </w:rPr>
        <w:t>《关于印发&lt;北京市政务云管理办法&gt;的通知》（京经信函【</w:t>
      </w:r>
      <w:r>
        <w:rPr>
          <w:rFonts w:hint="eastAsia" w:ascii="宋体" w:hAnsi="宋体" w:eastAsia="宋体" w:cs="宋体"/>
          <w:color w:val="000000"/>
          <w:sz w:val="24"/>
          <w:lang w:val="en-US" w:eastAsia="zh-CN"/>
        </w:rPr>
        <w:t>2019</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150号</w:t>
      </w:r>
      <w:r>
        <w:rPr>
          <w:rFonts w:hint="eastAsia" w:ascii="宋体" w:hAnsi="宋体" w:eastAsia="宋体" w:cs="宋体"/>
          <w:color w:val="000000"/>
          <w:sz w:val="24"/>
          <w:lang w:eastAsia="zh-CN"/>
        </w:rPr>
        <w:t>）</w:t>
      </w:r>
    </w:p>
    <w:p>
      <w:pPr>
        <w:tabs>
          <w:tab w:val="left" w:pos="420"/>
        </w:tabs>
        <w:spacing w:line="36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《信息安全技术云计算服务安全能力要求》（GB/T 31168-2014）</w:t>
      </w:r>
    </w:p>
    <w:p>
      <w:pPr>
        <w:spacing w:line="360" w:lineRule="auto"/>
        <w:contextualSpacing/>
        <w:rPr>
          <w:sz w:val="24"/>
        </w:rPr>
      </w:pPr>
      <w:r>
        <w:rPr>
          <w:sz w:val="24"/>
        </w:rPr>
        <w:t>2. 服务内容及要求/货物技术要求</w:t>
      </w:r>
    </w:p>
    <w:p>
      <w:pPr>
        <w:widowControl/>
        <w:spacing w:line="360" w:lineRule="auto"/>
        <w:ind w:firstLine="480" w:firstLineChars="200"/>
        <w:contextualSpacing/>
        <w:rPr>
          <w:sz w:val="24"/>
        </w:rPr>
      </w:pPr>
      <w:r>
        <w:rPr>
          <w:sz w:val="24"/>
        </w:rPr>
        <w:t>2.</w:t>
      </w:r>
      <w:r>
        <w:rPr>
          <w:rFonts w:hint="eastAsia"/>
          <w:sz w:val="24"/>
          <w:lang w:val="en-US" w:eastAsia="zh-CN"/>
        </w:rPr>
        <w:t>1</w:t>
      </w:r>
      <w:r>
        <w:rPr>
          <w:sz w:val="24"/>
        </w:rPr>
        <w:t>采购标的需满足的服务标准、期限、效率等要求</w:t>
      </w:r>
    </w:p>
    <w:p>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szCs w:val="24"/>
          <w:lang w:val="en-US" w:eastAsia="zh-CN"/>
        </w:rPr>
        <w:t>2.1.1</w:t>
      </w:r>
      <w:r>
        <w:rPr>
          <w:rFonts w:hint="eastAsia" w:ascii="宋体" w:hAnsi="宋体" w:eastAsia="宋体" w:cs="宋体"/>
          <w:sz w:val="24"/>
          <w:szCs w:val="24"/>
        </w:rPr>
        <w:t>云主机服务</w:t>
      </w:r>
    </w:p>
    <w:p>
      <w:pPr>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按照采购人的具体需求，提供云主机服务，包括：x86平台云主机服务，按需求对CPU及内存进行动态调整，实现合理的计算资源配置。在提供政务云主机的服务过程中做好与采购人和对应项目应用开发厂商的协调沟通工作。</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numPr>
          <w:ilvl w:val="0"/>
          <w:numId w:val="2"/>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应满足云主机之间、CPU之间隔离保护要求；</w:t>
      </w:r>
    </w:p>
    <w:p>
      <w:pPr>
        <w:pStyle w:val="3"/>
        <w:numPr>
          <w:ilvl w:val="0"/>
          <w:numId w:val="2"/>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支持资源的动态调整，根据业务的负载情况实现业务系统虚拟机的动态扩展和回收；</w:t>
      </w:r>
    </w:p>
    <w:p>
      <w:pPr>
        <w:pStyle w:val="3"/>
        <w:numPr>
          <w:ilvl w:val="0"/>
          <w:numId w:val="2"/>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云主机出现故障时，支持自动重启或者迁移，保障业务连续性；</w:t>
      </w:r>
    </w:p>
    <w:p>
      <w:pPr>
        <w:pStyle w:val="3"/>
        <w:numPr>
          <w:ilvl w:val="0"/>
          <w:numId w:val="2"/>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支持虚拟机热迁移，可在不同代CPU资源池中进行虚拟机热迁移；</w:t>
      </w:r>
    </w:p>
    <w:p>
      <w:pPr>
        <w:pStyle w:val="3"/>
        <w:numPr>
          <w:ilvl w:val="0"/>
          <w:numId w:val="2"/>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云计算资源性能要求包括但不限于如下：</w:t>
      </w:r>
    </w:p>
    <w:p>
      <w:pPr>
        <w:numPr>
          <w:ilvl w:val="0"/>
          <w:numId w:val="3"/>
        </w:numPr>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物理服务器 CPU 主频应不低于2.40GHz；</w:t>
      </w:r>
    </w:p>
    <w:p>
      <w:pPr>
        <w:pStyle w:val="3"/>
        <w:numPr>
          <w:ilvl w:val="0"/>
          <w:numId w:val="3"/>
        </w:numPr>
        <w:snapToGrid w:val="0"/>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主机内存硬件配置不低于DDR4-2400MHz；</w:t>
      </w:r>
    </w:p>
    <w:p>
      <w:pPr>
        <w:numPr>
          <w:ilvl w:val="0"/>
          <w:numId w:val="3"/>
        </w:numPr>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可用性不低于</w:t>
      </w:r>
      <w:r>
        <w:rPr>
          <w:rFonts w:hint="eastAsia" w:ascii="宋体" w:hAnsi="宋体" w:eastAsia="宋体" w:cs="宋体"/>
          <w:sz w:val="24"/>
          <w:szCs w:val="24"/>
          <w:highlight w:val="none"/>
          <w:lang w:val="en-US" w:eastAsia="zh-CN"/>
        </w:rPr>
        <w:t>99.99</w:t>
      </w:r>
      <w:r>
        <w:rPr>
          <w:rFonts w:hint="eastAsia" w:ascii="宋体" w:hAnsi="宋体" w:eastAsia="宋体" w:cs="宋体"/>
          <w:sz w:val="24"/>
          <w:szCs w:val="24"/>
          <w:highlight w:val="none"/>
        </w:rPr>
        <w:t>%。</w:t>
      </w:r>
    </w:p>
    <w:p>
      <w:pPr>
        <w:widowControl/>
        <w:spacing w:line="360" w:lineRule="auto"/>
        <w:ind w:firstLine="480" w:firstLineChars="200"/>
        <w:contextualSpacing/>
        <w:rPr>
          <w:rFonts w:hint="eastAsia" w:ascii="宋体" w:hAnsi="宋体" w:eastAsia="宋体" w:cs="宋体"/>
          <w:sz w:val="24"/>
          <w:szCs w:val="24"/>
        </w:rPr>
      </w:pPr>
      <w:bookmarkStart w:id="0" w:name="OLE_LINK7"/>
      <w:bookmarkStart w:id="1" w:name="_Toc31277"/>
      <w:r>
        <w:rPr>
          <w:rFonts w:hint="eastAsia" w:ascii="宋体" w:hAnsi="宋体" w:eastAsia="宋体" w:cs="宋体"/>
          <w:sz w:val="24"/>
          <w:szCs w:val="24"/>
          <w:lang w:val="en-US" w:eastAsia="zh-CN"/>
        </w:rPr>
        <w:t>2.1.2</w:t>
      </w:r>
      <w:bookmarkEnd w:id="0"/>
      <w:r>
        <w:rPr>
          <w:rFonts w:hint="eastAsia" w:ascii="宋体" w:hAnsi="宋体" w:eastAsia="宋体" w:cs="宋体"/>
          <w:sz w:val="24"/>
          <w:szCs w:val="24"/>
        </w:rPr>
        <w:t>存储服务</w:t>
      </w:r>
      <w:bookmarkEnd w:id="1"/>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服务内容</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按照采购人的具体需求，提供存储服务，包括：普通性能存储、高性能存储</w:t>
      </w:r>
      <w:r>
        <w:rPr>
          <w:rFonts w:hint="eastAsia" w:ascii="宋体" w:hAnsi="宋体" w:eastAsia="宋体" w:cs="宋体"/>
          <w:sz w:val="24"/>
          <w:szCs w:val="24"/>
          <w:lang w:eastAsia="zh-CN"/>
        </w:rPr>
        <w:t>、静态存储</w:t>
      </w:r>
      <w:r>
        <w:rPr>
          <w:rFonts w:hint="eastAsia" w:ascii="宋体" w:hAnsi="宋体" w:eastAsia="宋体" w:cs="宋体"/>
          <w:sz w:val="24"/>
          <w:szCs w:val="24"/>
        </w:rPr>
        <w:t>和本地备份服务，实现合理的存储资源配置。在提供政务云存储的服务过程中需做好采购人和对应项目应用开发厂商的协调沟通工作。</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numPr>
          <w:ilvl w:val="0"/>
          <w:numId w:val="4"/>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支持结构化数据、半结构化数据和非结构化数据等多种数据类型存储；</w:t>
      </w:r>
    </w:p>
    <w:p>
      <w:pPr>
        <w:pStyle w:val="3"/>
        <w:numPr>
          <w:ilvl w:val="0"/>
          <w:numId w:val="4"/>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支持块存储、对象存储、文件存储等多种存储方法，满足数据备份、视频存储等不同应用场景使用要求；</w:t>
      </w:r>
    </w:p>
    <w:p>
      <w:pPr>
        <w:pStyle w:val="3"/>
        <w:numPr>
          <w:ilvl w:val="0"/>
          <w:numId w:val="4"/>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支持存储资源扩展能力，例如：PB级扩展；</w:t>
      </w:r>
    </w:p>
    <w:p>
      <w:pPr>
        <w:pStyle w:val="3"/>
        <w:numPr>
          <w:ilvl w:val="0"/>
          <w:numId w:val="4"/>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支持磁盘容错技术，如磁盘故障后节点的自动平衡和重构、硬盘故障检测和处理、集群节点出现单盘故障时不影响业务运行等；</w:t>
      </w:r>
    </w:p>
    <w:p>
      <w:pPr>
        <w:pStyle w:val="3"/>
        <w:snapToGrid w:val="0"/>
        <w:spacing w:line="360" w:lineRule="auto"/>
        <w:ind w:firstLine="480"/>
        <w:rPr>
          <w:rFonts w:hint="eastAsia" w:ascii="宋体" w:hAnsi="宋体" w:eastAsia="宋体" w:cs="宋体"/>
          <w:sz w:val="24"/>
          <w:szCs w:val="24"/>
        </w:rPr>
      </w:pPr>
      <w:bookmarkStart w:id="2" w:name="_Toc23192"/>
      <w:r>
        <w:rPr>
          <w:rFonts w:hint="eastAsia" w:ascii="宋体" w:hAnsi="宋体" w:eastAsia="宋体" w:cs="宋体"/>
          <w:sz w:val="24"/>
          <w:szCs w:val="24"/>
          <w:lang w:val="en-US" w:eastAsia="zh-CN"/>
        </w:rPr>
        <w:t>2.1.3</w:t>
      </w:r>
      <w:r>
        <w:rPr>
          <w:rFonts w:hint="eastAsia" w:ascii="宋体" w:hAnsi="宋体" w:eastAsia="宋体" w:cs="宋体"/>
          <w:sz w:val="24"/>
          <w:szCs w:val="24"/>
        </w:rPr>
        <w:t>网络服务</w:t>
      </w:r>
      <w:bookmarkEnd w:id="2"/>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pStyle w:val="3"/>
        <w:numPr>
          <w:ilvl w:val="0"/>
          <w:numId w:val="5"/>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提供互联网链路带宽服务、互联网IP地址租用服务，并提供相应的网络域名备案服务，配合应用开发厂商提供网络策略配置服务。</w:t>
      </w:r>
    </w:p>
    <w:p>
      <w:pPr>
        <w:pStyle w:val="3"/>
        <w:numPr>
          <w:ilvl w:val="0"/>
          <w:numId w:val="5"/>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主机负载均衡服务，通过云管理平台实现针每租户按需自动分配负载均衡服务的能力。</w:t>
      </w:r>
    </w:p>
    <w:p>
      <w:pPr>
        <w:pStyle w:val="3"/>
        <w:numPr>
          <w:ilvl w:val="0"/>
          <w:numId w:val="5"/>
        </w:numPr>
        <w:snapToGrid w:val="0"/>
        <w:spacing w:line="360" w:lineRule="auto"/>
        <w:ind w:left="360" w:leftChars="0" w:firstLine="480" w:firstLineChars="0"/>
        <w:rPr>
          <w:rFonts w:hint="eastAsia" w:ascii="宋体" w:hAnsi="宋体" w:eastAsia="宋体" w:cs="宋体"/>
          <w:sz w:val="24"/>
          <w:szCs w:val="24"/>
        </w:rPr>
      </w:pPr>
      <w:r>
        <w:rPr>
          <w:rFonts w:hint="eastAsia" w:ascii="宋体" w:hAnsi="宋体" w:eastAsia="宋体" w:cs="宋体"/>
          <w:sz w:val="24"/>
          <w:szCs w:val="24"/>
        </w:rPr>
        <w:t>远程接入服务，提供互联网远程接入服务，每个账号结合身份验证接入堡垒机维护应用系统。</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网络系统提供稳定的数据传输能力，一般要求如下：</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具备多运营商网络接入服务的能力；</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数据中心组网架构设计可采用大二层网络架构，支持云主机无障碍动态迁移；</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应采用集群部署网络控制，以保障升级时业务不中断；</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应实现自动化动态网络资源调配和隔离，支持与互联网、电子政务外网及行业部门专网的连接；</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可支持IPv6地址分配，满足业务系统IPv6要求；</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具备边界防火墙和VPC防火墙隔离能力，分别针对不同的流量进行安全策略防护与配置；</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具备高可用虚拟IP能力，在集群或主备场景下，云主机可绑定高可用虚拟IP，达到高可用访问效果；</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采用双活网络架构，降低单点故障带来的稳定风险；为入云系统划分安全区域，合理制定访问规则。</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网络系统性能要求包括但不限于如下：</w:t>
      </w:r>
    </w:p>
    <w:p>
      <w:pPr>
        <w:numPr>
          <w:ilvl w:val="0"/>
          <w:numId w:val="3"/>
        </w:numPr>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云内骨干线路带宽不低于</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Gb/s；</w:t>
      </w:r>
    </w:p>
    <w:p>
      <w:pPr>
        <w:numPr>
          <w:ilvl w:val="0"/>
          <w:numId w:val="3"/>
        </w:numPr>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服务器业务带宽不低于</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Gb/s；</w:t>
      </w:r>
    </w:p>
    <w:p>
      <w:pPr>
        <w:numPr>
          <w:ilvl w:val="0"/>
          <w:numId w:val="3"/>
        </w:numPr>
        <w:spacing w:line="360" w:lineRule="auto"/>
        <w:ind w:left="1470" w:leftChars="0" w:hanging="42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平均可用性不低于</w:t>
      </w:r>
      <w:r>
        <w:rPr>
          <w:rFonts w:hint="eastAsia" w:ascii="宋体" w:hAnsi="宋体" w:eastAsia="宋体" w:cs="宋体"/>
          <w:sz w:val="24"/>
          <w:szCs w:val="24"/>
          <w:highlight w:val="none"/>
          <w:lang w:val="en-US" w:eastAsia="zh-CN"/>
        </w:rPr>
        <w:t>99.9</w:t>
      </w:r>
      <w:r>
        <w:rPr>
          <w:rFonts w:hint="eastAsia" w:ascii="宋体" w:hAnsi="宋体" w:eastAsia="宋体" w:cs="宋体"/>
          <w:sz w:val="24"/>
          <w:szCs w:val="24"/>
          <w:highlight w:val="none"/>
        </w:rPr>
        <w:t>%。</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pPr>
        <w:pStyle w:val="3"/>
        <w:numPr>
          <w:ilvl w:val="0"/>
          <w:numId w:val="6"/>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hAnsi="宋体" w:eastAsia="宋体" w:cs="宋体"/>
          <w:sz w:val="24"/>
          <w:szCs w:val="24"/>
          <w:lang w:val="en-US" w:eastAsia="zh-CN"/>
        </w:rPr>
        <w:t>投标人</w:t>
      </w:r>
      <w:r>
        <w:rPr>
          <w:rFonts w:hint="eastAsia" w:ascii="宋体" w:hAnsi="宋体" w:eastAsia="宋体" w:cs="宋体"/>
          <w:sz w:val="24"/>
          <w:szCs w:val="24"/>
          <w:lang w:val="en-US" w:eastAsia="zh-CN"/>
        </w:rPr>
        <w:t>应强化远程运维管理，因业务确需通过互联网远程运维的，应当采取安全管控措施，向采购提供安全管控方案。重要保障时期可以做到远程接入账号禁用操作，根据需求随时执行远程接入账号管控操作，并根据需求导出运维录屏操作记录。</w:t>
      </w:r>
    </w:p>
    <w:p>
      <w:pPr>
        <w:pStyle w:val="3"/>
        <w:snapToGrid w:val="0"/>
        <w:spacing w:line="360" w:lineRule="auto"/>
        <w:ind w:firstLine="720" w:firstLineChars="300"/>
        <w:rPr>
          <w:rFonts w:hint="eastAsia" w:ascii="宋体" w:hAnsi="宋体" w:eastAsia="宋体" w:cs="宋体"/>
          <w:sz w:val="24"/>
          <w:szCs w:val="24"/>
        </w:rPr>
      </w:pPr>
      <w:bookmarkStart w:id="3" w:name="_Toc24264"/>
      <w:r>
        <w:rPr>
          <w:rFonts w:hint="eastAsia" w:ascii="宋体" w:hAnsi="宋体" w:eastAsia="宋体" w:cs="宋体"/>
          <w:sz w:val="24"/>
          <w:szCs w:val="24"/>
          <w:lang w:val="en-US" w:eastAsia="zh-CN"/>
        </w:rPr>
        <w:t>2.1.4</w:t>
      </w:r>
      <w:r>
        <w:rPr>
          <w:rFonts w:hint="eastAsia" w:ascii="宋体" w:hAnsi="宋体" w:eastAsia="宋体" w:cs="宋体"/>
          <w:sz w:val="24"/>
          <w:szCs w:val="24"/>
        </w:rPr>
        <w:t>安全服务</w:t>
      </w:r>
      <w:bookmarkEnd w:id="3"/>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安全是政务云的红线，应按照网络安全等级保护要求建设安全技术防护体系和安全管理体系，加强数据的安全管理</w:t>
      </w:r>
      <w:r>
        <w:rPr>
          <w:rFonts w:hint="eastAsia"/>
          <w:lang w:eastAsia="zh-CN"/>
        </w:rPr>
        <w:t>，</w:t>
      </w:r>
      <w:r>
        <w:rPr>
          <w:rFonts w:hint="eastAsia" w:ascii="宋体" w:hAnsi="宋体" w:eastAsia="宋体" w:cs="宋体"/>
          <w:sz w:val="24"/>
          <w:szCs w:val="24"/>
        </w:rPr>
        <w:t>防止重要或敏感数据泄露或被滥用，并建立应急处置体系。安全服务主要内容包含：</w:t>
      </w:r>
    </w:p>
    <w:p>
      <w:pPr>
        <w:pStyle w:val="3"/>
        <w:numPr>
          <w:ilvl w:val="0"/>
          <w:numId w:val="7"/>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WAF防护服务</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按照采购人的具体需求，提供互联网WAF防护服务，保证用户对已知安全隐患进行防护，实时升级漏洞补丁，配置防护策略，起到前端防护作用。</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numPr>
          <w:ilvl w:val="0"/>
          <w:numId w:val="8"/>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pPr>
        <w:pStyle w:val="3"/>
        <w:numPr>
          <w:ilvl w:val="0"/>
          <w:numId w:val="8"/>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投标人需利用监控系统或人工对机房环境、硬件设备及应用系统的运行情况进行7*24小时的不间断巡检监控，及时发现安全隐患，通知相关人员及时处理，并形成监控报告。</w:t>
      </w:r>
    </w:p>
    <w:p>
      <w:pPr>
        <w:pStyle w:val="3"/>
        <w:numPr>
          <w:ilvl w:val="0"/>
          <w:numId w:val="8"/>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投标人需纳入行业监管部门网络安全保障整体工作体系，在涉及重保、安全事件、威胁情报等方面，配合安全服务商开展研判、处置、分析等工作。</w:t>
      </w:r>
    </w:p>
    <w:p>
      <w:pPr>
        <w:pStyle w:val="3"/>
        <w:numPr>
          <w:ilvl w:val="0"/>
          <w:numId w:val="8"/>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pPr>
        <w:pStyle w:val="3"/>
        <w:numPr>
          <w:ilvl w:val="0"/>
          <w:numId w:val="8"/>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w:t>
      </w:r>
    </w:p>
    <w:p>
      <w:pPr>
        <w:pStyle w:val="3"/>
        <w:numPr>
          <w:ilvl w:val="0"/>
          <w:numId w:val="8"/>
        </w:numPr>
        <w:snapToGrid w:val="0"/>
        <w:spacing w:line="360" w:lineRule="auto"/>
        <w:ind w:left="360" w:firstLine="480"/>
        <w:rPr>
          <w:rFonts w:hint="eastAsia" w:ascii="宋体" w:hAnsi="宋体" w:eastAsia="宋体" w:cs="宋体"/>
          <w:sz w:val="24"/>
        </w:rPr>
      </w:pPr>
      <w:r>
        <w:rPr>
          <w:rFonts w:hint="eastAsia" w:ascii="宋体" w:hAnsi="宋体" w:eastAsia="宋体" w:cs="宋体"/>
          <w:sz w:val="24"/>
          <w:szCs w:val="24"/>
          <w:lang w:val="en-US" w:eastAsia="zh-CN"/>
        </w:rPr>
        <w:t>投标人应坚持制度和技术并重，建立健全网络和数据安全管理制度，落实网络和数据安全管理要求。采取相应技术措施，保障网络免受干扰、破坏或者未经授权的访问。</w:t>
      </w:r>
    </w:p>
    <w:p>
      <w:pPr>
        <w:pStyle w:val="3"/>
        <w:snapToGrid w:val="0"/>
        <w:spacing w:line="360" w:lineRule="auto"/>
        <w:ind w:firstLine="720" w:firstLineChars="300"/>
        <w:rPr>
          <w:rFonts w:hint="eastAsia" w:ascii="宋体" w:hAnsi="宋体" w:eastAsia="宋体" w:cs="宋体"/>
          <w:sz w:val="24"/>
          <w:szCs w:val="24"/>
        </w:rPr>
      </w:pPr>
      <w:bookmarkStart w:id="4" w:name="_Toc19279"/>
      <w:r>
        <w:rPr>
          <w:rFonts w:hint="eastAsia" w:ascii="宋体" w:hAnsi="宋体" w:eastAsia="宋体" w:cs="宋体"/>
          <w:sz w:val="24"/>
          <w:szCs w:val="24"/>
          <w:lang w:val="en-US" w:eastAsia="zh-CN"/>
        </w:rPr>
        <w:t>2.1.5</w:t>
      </w:r>
      <w:r>
        <w:rPr>
          <w:rFonts w:hint="eastAsia" w:ascii="宋体" w:hAnsi="宋体" w:eastAsia="宋体" w:cs="宋体"/>
          <w:sz w:val="24"/>
          <w:szCs w:val="24"/>
        </w:rPr>
        <w:t>运维服务</w:t>
      </w:r>
      <w:bookmarkEnd w:id="4"/>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pStyle w:val="3"/>
        <w:numPr>
          <w:ilvl w:val="0"/>
          <w:numId w:val="9"/>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负责机房环境资源、云平台硬件资产、虚拟化资产的管理工作；</w:t>
      </w:r>
    </w:p>
    <w:p>
      <w:pPr>
        <w:pStyle w:val="3"/>
        <w:numPr>
          <w:ilvl w:val="0"/>
          <w:numId w:val="9"/>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信息系统入云、上线、变更、退出等各阶段的备案与信息变更等工作；</w:t>
      </w:r>
    </w:p>
    <w:p>
      <w:pPr>
        <w:pStyle w:val="3"/>
        <w:numPr>
          <w:ilvl w:val="0"/>
          <w:numId w:val="9"/>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执行云平台变更申请、审批流程；</w:t>
      </w:r>
    </w:p>
    <w:p>
      <w:pPr>
        <w:pStyle w:val="3"/>
        <w:numPr>
          <w:ilvl w:val="0"/>
          <w:numId w:val="9"/>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云平台网络资源管理，针对内部地址使用情况、云平台专线接入情况、政务外网资源使用情况等做好统计工作；</w:t>
      </w:r>
    </w:p>
    <w:p>
      <w:pPr>
        <w:pStyle w:val="3"/>
        <w:numPr>
          <w:ilvl w:val="0"/>
          <w:numId w:val="9"/>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服务期内，投标人须配备运维团队，提供可靠的售后服务保障。投标人针对采购人要求的云平台运维服务相关内容，需指定专业技术能力较强的工程师，根据采购人要求配合开展相关维护服务。</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3个小时之内使系统恢复正常，故障处理完毕后提供相关系统宕机报告。</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lang w:eastAsia="zh-CN"/>
        </w:rPr>
        <w:t>投标人应提供</w:t>
      </w:r>
      <w:r>
        <w:rPr>
          <w:rFonts w:hint="eastAsia" w:ascii="宋体" w:hAnsi="宋体" w:eastAsia="宋体" w:cs="宋体"/>
        </w:rPr>
        <w:t>业务系统运行可靠性保障方案</w:t>
      </w:r>
      <w:r>
        <w:rPr>
          <w:rFonts w:hint="eastAsia" w:ascii="宋体" w:hAnsi="宋体" w:eastAsia="宋体" w:cs="宋体"/>
          <w:sz w:val="24"/>
          <w:szCs w:val="24"/>
          <w:lang w:val="en-US" w:eastAsia="zh-CN"/>
        </w:rPr>
        <w:t>，确保业务高峰期内系统平稳运行，缓解系统高峰期内因业务发生量增大而带来系统压力风险，要求投标人根据业务周期性特点，加大运维保障力度，保证在业务高峰期内系统平稳运行，需</w:t>
      </w:r>
      <w:r>
        <w:rPr>
          <w:rFonts w:hint="eastAsia" w:ascii="宋体" w:hAnsi="宋体" w:eastAsia="宋体" w:cs="宋体"/>
        </w:rPr>
        <w:t>明确服务保障时间、保障组织与职责</w:t>
      </w:r>
      <w:r>
        <w:rPr>
          <w:rFonts w:hint="eastAsia" w:ascii="宋体" w:hAnsi="宋体" w:eastAsia="宋体" w:cs="宋体"/>
          <w:lang w:eastAsia="zh-CN"/>
        </w:rPr>
        <w:t>，</w:t>
      </w:r>
      <w:r>
        <w:rPr>
          <w:rFonts w:hint="eastAsia" w:ascii="宋体" w:hAnsi="宋体" w:eastAsia="宋体" w:cs="宋体"/>
        </w:rPr>
        <w:t>有完善的故障处置流程和具体措施</w:t>
      </w:r>
      <w:r>
        <w:rPr>
          <w:rFonts w:hint="eastAsia" w:ascii="宋体" w:hAnsi="宋体" w:eastAsia="宋体" w:cs="宋体"/>
          <w:lang w:eastAsia="zh-CN"/>
        </w:rPr>
        <w:t>及</w:t>
      </w:r>
      <w:r>
        <w:rPr>
          <w:rFonts w:hint="eastAsia" w:ascii="宋体" w:hAnsi="宋体" w:eastAsia="宋体" w:cs="宋体"/>
        </w:rPr>
        <w:t>后期处置总结</w:t>
      </w:r>
      <w:r>
        <w:rPr>
          <w:rFonts w:hint="eastAsia" w:ascii="宋体" w:hAnsi="宋体" w:eastAsia="宋体" w:cs="宋体"/>
          <w:lang w:eastAsia="zh-CN"/>
        </w:rPr>
        <w:t>。</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按照国家、北京市相关规定和信息安全技术标准及规范要求, 落实安全保障措施, 通过信息安全测评机构的测评和政务云安全审查 。</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投标人应明确运维</w:t>
      </w:r>
      <w:r>
        <w:rPr>
          <w:rFonts w:hint="eastAsia" w:ascii="宋体" w:hAnsi="宋体" w:eastAsia="宋体" w:cs="宋体"/>
        </w:rPr>
        <w:t>制度、规范</w:t>
      </w:r>
      <w:r>
        <w:rPr>
          <w:rFonts w:hint="eastAsia" w:ascii="宋体" w:hAnsi="宋体" w:eastAsia="宋体" w:cs="宋体"/>
          <w:lang w:eastAsia="zh-CN"/>
        </w:rPr>
        <w:t>和</w:t>
      </w:r>
      <w:r>
        <w:rPr>
          <w:rFonts w:hint="eastAsia" w:ascii="宋体" w:hAnsi="宋体" w:eastAsia="宋体" w:cs="宋体"/>
        </w:rPr>
        <w:t>流程</w:t>
      </w:r>
      <w:r>
        <w:rPr>
          <w:rFonts w:hint="eastAsia" w:ascii="宋体" w:hAnsi="宋体" w:eastAsia="宋体" w:cs="宋体"/>
          <w:sz w:val="24"/>
          <w:szCs w:val="24"/>
          <w:lang w:val="en-US" w:eastAsia="zh-CN"/>
        </w:rPr>
        <w:t>。定期开展文档查阅、漏洞扫描、渗透测试等多种形式的安全自查，排查政务网络和信息系统可能存在的安全漏洞，以及木马、后门、病毒等隐患风险，及时进行整改加固，切实防范安全风险。</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投标人应保障政务云规范运行。入云系统应开展网络安全测评及备案。应对数据进行分类分级管理，根据数据分级保护要求采取相应级别的安全防护措施。</w:t>
      </w:r>
    </w:p>
    <w:p>
      <w:pPr>
        <w:pStyle w:val="3"/>
        <w:numPr>
          <w:ilvl w:val="0"/>
          <w:numId w:val="10"/>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投标人应提供</w:t>
      </w:r>
      <w:r>
        <w:rPr>
          <w:rFonts w:hint="eastAsia" w:ascii="宋体" w:hAnsi="宋体" w:eastAsia="宋体" w:cs="宋体"/>
          <w:sz w:val="24"/>
          <w:szCs w:val="24"/>
        </w:rPr>
        <w:t>运维服务应急处置方案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除不可抗力或计划内维护作业造成的政务云服务中断外,政务云实行24小时不间断运行。</w:t>
      </w:r>
    </w:p>
    <w:p>
      <w:pPr>
        <w:pStyle w:val="3"/>
        <w:snapToGrid w:val="0"/>
        <w:spacing w:line="360" w:lineRule="auto"/>
        <w:ind w:firstLine="720" w:firstLineChars="300"/>
        <w:rPr>
          <w:rFonts w:hint="eastAsia" w:ascii="宋体" w:hAnsi="宋体" w:eastAsia="宋体" w:cs="宋体"/>
          <w:sz w:val="24"/>
          <w:szCs w:val="24"/>
        </w:rPr>
      </w:pPr>
      <w:bookmarkStart w:id="5" w:name="_Toc28361"/>
      <w:r>
        <w:rPr>
          <w:rFonts w:hint="eastAsia" w:ascii="宋体" w:hAnsi="宋体" w:eastAsia="宋体" w:cs="宋体"/>
          <w:sz w:val="24"/>
          <w:szCs w:val="24"/>
          <w:lang w:val="en-US" w:eastAsia="zh-CN"/>
        </w:rPr>
        <w:t>2.1.6</w:t>
      </w:r>
      <w:r>
        <w:rPr>
          <w:rFonts w:hint="eastAsia" w:ascii="宋体" w:hAnsi="宋体" w:eastAsia="宋体" w:cs="宋体"/>
          <w:sz w:val="24"/>
          <w:szCs w:val="24"/>
        </w:rPr>
        <w:t>备份服务</w:t>
      </w:r>
      <w:bookmarkEnd w:id="5"/>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投标人需具有本地数据备份能力，并配合采购人完成数据级容灾演练及恢复等工作。</w:t>
      </w:r>
    </w:p>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按照采购人的各个应用系统对资源的备份需求通过备份策略实现对用户数据（文件、操作系统、数据库）的本地备份（不包含备份存储空间费用），默认提供非结构化数据保护与文件备份保护。备份应满足如下要求:</w:t>
      </w:r>
    </w:p>
    <w:p>
      <w:pPr>
        <w:pStyle w:val="3"/>
        <w:numPr>
          <w:ilvl w:val="0"/>
          <w:numId w:val="11"/>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备份介质本身具备高可用性和冗余性。</w:t>
      </w:r>
    </w:p>
    <w:p>
      <w:pPr>
        <w:pStyle w:val="3"/>
        <w:numPr>
          <w:ilvl w:val="0"/>
          <w:numId w:val="11"/>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备份方式包括完整备份、差异备份和增量备份。</w:t>
      </w:r>
    </w:p>
    <w:p>
      <w:pPr>
        <w:pStyle w:val="3"/>
        <w:numPr>
          <w:ilvl w:val="0"/>
          <w:numId w:val="11"/>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支持Windows系列操作系统、Linux主流系统操作系统、主流数据库软件、主流中间件软件、结构化数据以及非结构化数据等备份对象。</w:t>
      </w:r>
    </w:p>
    <w:p>
      <w:pPr>
        <w:pStyle w:val="3"/>
        <w:numPr>
          <w:ilvl w:val="0"/>
          <w:numId w:val="11"/>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支持建立统一的备份管理系统，用来管理本地备份。</w:t>
      </w:r>
    </w:p>
    <w:p>
      <w:pPr>
        <w:pStyle w:val="3"/>
        <w:numPr>
          <w:ilvl w:val="0"/>
          <w:numId w:val="11"/>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投标人应提供对备份过程状态、备份结果提供运维监控保障服务，确保备份任务执行成功以及备份的数据完整性。</w:t>
      </w:r>
    </w:p>
    <w:p>
      <w:pPr>
        <w:pStyle w:val="3"/>
        <w:snapToGrid w:val="0"/>
        <w:spacing w:line="360" w:lineRule="auto"/>
        <w:ind w:firstLine="720" w:firstLineChars="300"/>
        <w:rPr>
          <w:rFonts w:hint="eastAsia" w:ascii="宋体" w:hAnsi="宋体" w:eastAsia="宋体" w:cs="宋体"/>
          <w:sz w:val="24"/>
          <w:szCs w:val="24"/>
          <w:lang w:val="en-US" w:eastAsia="zh-CN"/>
        </w:rPr>
      </w:pPr>
      <w:bookmarkStart w:id="6" w:name="_Toc28153"/>
      <w:bookmarkStart w:id="7" w:name="OLE_LINK8"/>
      <w:r>
        <w:rPr>
          <w:rFonts w:hint="eastAsia" w:ascii="宋体" w:hAnsi="宋体" w:eastAsia="宋体" w:cs="宋体"/>
          <w:sz w:val="24"/>
          <w:szCs w:val="24"/>
          <w:lang w:val="en-US" w:eastAsia="zh-CN"/>
        </w:rPr>
        <w:t>2.1.7迁移服务</w:t>
      </w:r>
      <w:bookmarkEnd w:id="6"/>
    </w:p>
    <w:bookmarkEnd w:id="7"/>
    <w:p>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服务内容</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投标人需提供整体的业务上云迁移服务，应支持X86云主机迁移、X86物理主机迁移、单机数据库迁移、高可用数据库迁移等迁移场景。负责需求调研、架构规划设计、应用迁移部署等工作。</w:t>
      </w:r>
    </w:p>
    <w:p>
      <w:pPr>
        <w:spacing w:line="360" w:lineRule="auto"/>
        <w:ind w:firstLine="482" w:firstLineChars="200"/>
        <w:rPr>
          <w:rFonts w:hint="eastAsia" w:ascii="宋体" w:hAnsi="宋体" w:eastAsia="宋体" w:cs="宋体"/>
          <w:bCs/>
          <w:color w:val="000000"/>
          <w:sz w:val="24"/>
          <w:szCs w:val="24"/>
          <w:lang w:bidi="ar"/>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服务标准</w:t>
      </w:r>
    </w:p>
    <w:p>
      <w:pPr>
        <w:pStyle w:val="3"/>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本项目涉及的业务系统为采购人在用的生产系统，目前在政务云上平稳运行，因此保障业务连续性是重要的保障需求。迁移服务具体要求如下：</w:t>
      </w:r>
    </w:p>
    <w:p>
      <w:pPr>
        <w:pStyle w:val="3"/>
        <w:numPr>
          <w:ilvl w:val="0"/>
          <w:numId w:val="12"/>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投标人需编制业务连续性服务方案。</w:t>
      </w:r>
    </w:p>
    <w:p>
      <w:pPr>
        <w:pStyle w:val="3"/>
        <w:numPr>
          <w:ilvl w:val="0"/>
          <w:numId w:val="12"/>
        </w:numPr>
        <w:snapToGrid w:val="0"/>
        <w:spacing w:line="360" w:lineRule="auto"/>
        <w:ind w:left="360" w:leftChars="0" w:firstLine="48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w:t>
      </w:r>
      <w:r>
        <w:rPr>
          <w:rFonts w:hint="eastAsia" w:ascii="宋体" w:hAnsi="宋体" w:cs="宋体"/>
          <w:b w:val="0"/>
          <w:bCs w:val="0"/>
          <w:color w:val="000000"/>
          <w:kern w:val="0"/>
          <w:sz w:val="24"/>
        </w:rPr>
        <w:t>工作事项、人员数量</w:t>
      </w:r>
      <w:r>
        <w:rPr>
          <w:rFonts w:hint="eastAsia" w:ascii="宋体" w:hAnsi="宋体" w:cs="宋体"/>
          <w:b w:val="0"/>
          <w:bCs w:val="0"/>
          <w:color w:val="000000"/>
          <w:kern w:val="0"/>
          <w:sz w:val="24"/>
          <w:lang w:eastAsia="zh-CN"/>
        </w:rPr>
        <w:t>和</w:t>
      </w:r>
      <w:r>
        <w:rPr>
          <w:rFonts w:hint="eastAsia" w:ascii="宋体" w:hAnsi="宋体" w:cs="宋体"/>
          <w:b w:val="0"/>
          <w:bCs w:val="0"/>
          <w:color w:val="000000"/>
          <w:kern w:val="0"/>
          <w:sz w:val="24"/>
        </w:rPr>
        <w:t>时间</w:t>
      </w:r>
      <w:r>
        <w:rPr>
          <w:rFonts w:hint="eastAsia" w:ascii="宋体" w:hAnsi="宋体" w:eastAsia="宋体" w:cs="宋体"/>
          <w:sz w:val="24"/>
          <w:szCs w:val="24"/>
          <w:lang w:val="en-US" w:eastAsia="zh-CN"/>
        </w:rPr>
        <w:t>，针对系统迁移过程中容易造成业务系统中断的环节，包含但不限于互联网及政务外网IP变更割接、业务数据同步及切换上线、应急回退方案等，进行风险评估，提出详细解决方案。</w:t>
      </w:r>
    </w:p>
    <w:p>
      <w:pPr>
        <w:pStyle w:val="3"/>
        <w:widowControl/>
        <w:numPr>
          <w:ilvl w:val="0"/>
          <w:numId w:val="12"/>
        </w:numPr>
        <w:snapToGrid w:val="0"/>
        <w:spacing w:line="360" w:lineRule="auto"/>
        <w:ind w:left="360" w:firstLine="480" w:firstLineChars="0"/>
        <w:contextualSpacing/>
        <w:rPr>
          <w:sz w:val="24"/>
        </w:rPr>
      </w:pPr>
      <w:r>
        <w:rPr>
          <w:rFonts w:hint="eastAsia" w:ascii="宋体" w:hAnsi="宋体" w:eastAsia="宋体" w:cs="宋体"/>
          <w:sz w:val="24"/>
          <w:szCs w:val="24"/>
          <w:lang w:val="en-US" w:eastAsia="zh-CN"/>
        </w:rPr>
        <w:t>本项目如涉及系统迁移，为保障业务系统的连续性，投标人应承诺自中标之日起，积极与原服务商对接，在4个工作日内，完成系统迁移平滑过渡，且因此产生的各项费用（包括但不限于测试阶段的云资源费用，系统开发商对业务系统的部署、调试费用等），应包含在投标人的报价中，提供“承诺函”并加盖投标人公章。</w:t>
      </w:r>
    </w:p>
    <w:p>
      <w:pPr>
        <w:widowControl/>
        <w:spacing w:line="360" w:lineRule="auto"/>
        <w:ind w:firstLine="480" w:firstLineChars="200"/>
        <w:contextualSpacing/>
        <w:rPr>
          <w:sz w:val="24"/>
        </w:rPr>
      </w:pPr>
      <w:r>
        <w:rPr>
          <w:sz w:val="24"/>
        </w:rPr>
        <w:t>2.</w:t>
      </w:r>
      <w:r>
        <w:rPr>
          <w:rFonts w:hint="eastAsia"/>
          <w:sz w:val="24"/>
          <w:lang w:val="en-US" w:eastAsia="zh-CN"/>
        </w:rPr>
        <w:t>2</w:t>
      </w:r>
      <w:r>
        <w:rPr>
          <w:sz w:val="24"/>
        </w:rPr>
        <w:t>采购标的的其他技术、服务等要求</w:t>
      </w:r>
    </w:p>
    <w:p>
      <w:pPr>
        <w:pStyle w:val="3"/>
        <w:keepNext w:val="0"/>
        <w:keepLines w:val="0"/>
        <w:widowControl w:val="0"/>
        <w:suppressLineNumbers w:val="0"/>
        <w:snapToGrid w:val="0"/>
        <w:spacing w:before="0" w:beforeAutospacing="0" w:after="0" w:afterAutospacing="0" w:line="360" w:lineRule="auto"/>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投标人须严格按照采购人制定的管理办法、流程及其他汇报制度、应急制度、文档管理、资产管理、基线管理、人员管理、培训与考试、知识库管理、安全管理等相关制度，开展标准化运维工作。</w:t>
      </w:r>
    </w:p>
    <w:p>
      <w:pPr>
        <w:pStyle w:val="3"/>
        <w:adjustRightInd w:val="0"/>
        <w:spacing w:line="360" w:lineRule="auto"/>
        <w:ind w:firstLine="424" w:firstLineChars="177"/>
        <w:contextualSpacing/>
        <w:jc w:val="left"/>
        <w:rPr>
          <w:rFonts w:ascii="Times New Roman" w:hAnsi="Times New Roman"/>
          <w:sz w:val="24"/>
          <w:szCs w:val="24"/>
        </w:rPr>
      </w:pPr>
      <w:r>
        <w:rPr>
          <w:rFonts w:hint="eastAsia" w:ascii="宋体" w:hAnsi="宋体" w:eastAsia="宋体" w:cs="宋体"/>
          <w:kern w:val="2"/>
          <w:sz w:val="24"/>
          <w:szCs w:val="24"/>
          <w:lang w:val="en-US" w:eastAsia="zh-CN" w:bidi="ar"/>
        </w:rPr>
        <w:t>投标人应遵从政务云管理单位的日常管理要求，包括但不限于使用政务云管理单位指定的安全通信工具，确保通信和协调信息处于可控范围。</w:t>
      </w:r>
    </w:p>
    <w:p>
      <w:pPr>
        <w:spacing w:line="360" w:lineRule="auto"/>
        <w:contextualSpacing/>
        <w:rPr>
          <w:i/>
          <w:iCs/>
          <w:sz w:val="24"/>
        </w:rPr>
      </w:pPr>
      <w:r>
        <w:rPr>
          <w:sz w:val="24"/>
        </w:rPr>
        <w:t>3. 验收标准</w:t>
      </w:r>
    </w:p>
    <w:p>
      <w:pPr>
        <w:pStyle w:val="3"/>
        <w:widowControl/>
        <w:spacing w:line="360" w:lineRule="auto"/>
        <w:ind w:firstLine="480"/>
        <w:contextualSpacing/>
        <w:rPr>
          <w:rFonts w:hint="eastAsia" w:ascii="宋体" w:hAnsi="宋体" w:eastAsia="宋体" w:cs="宋体"/>
          <w:b w:val="0"/>
          <w:sz w:val="24"/>
          <w:lang w:bidi="ar"/>
        </w:rPr>
      </w:pPr>
      <w:r>
        <w:rPr>
          <w:rFonts w:hint="eastAsia" w:ascii="宋体" w:hAnsi="宋体" w:eastAsia="宋体" w:cs="宋体"/>
          <w:sz w:val="24"/>
          <w:szCs w:val="24"/>
          <w:lang w:val="en-US" w:eastAsia="zh-CN" w:bidi="ar"/>
        </w:rPr>
        <w:t>服务过程中应通过交付计划、交付实施、交付检查和交付改进等动作，确保质量有效管控，完成服务内容，满足服务标准。针对双方约定的服务内容，应按要求提供电子和纸质的交付证明文档，积极配合完成验收工作。如没有满足服务内容及服务标准的要求，除应采取补救措施外，中共北京市委组织部有权要求一定的补偿。</w:t>
      </w:r>
    </w:p>
    <w:p>
      <w:pPr>
        <w:pStyle w:val="3"/>
        <w:snapToGrid/>
        <w:spacing w:line="360" w:lineRule="auto"/>
        <w:ind w:left="0" w:leftChars="0" w:firstLine="0" w:firstLineChars="0"/>
        <w:jc w:val="left"/>
        <w:outlineLvl w:val="9"/>
        <w:rPr>
          <w:rFonts w:hint="eastAsia" w:ascii="宋体" w:hAnsi="宋体" w:eastAsia="宋体" w:cs="宋体"/>
          <w:sz w:val="24"/>
          <w:szCs w:val="24"/>
          <w:lang w:bidi="ar"/>
        </w:rPr>
      </w:pPr>
      <w:r>
        <w:rPr>
          <w:sz w:val="24"/>
        </w:rPr>
        <w:t>4. 其他要求</w:t>
      </w:r>
      <w:r>
        <w:rPr>
          <w:sz w:val="24"/>
        </w:rPr>
        <w:br w:type="textWrapping"/>
      </w:r>
      <w:r>
        <w:rPr>
          <w:rFonts w:hint="eastAsia" w:ascii="宋体" w:hAnsi="宋体" w:eastAsia="宋体" w:cs="宋体"/>
          <w:sz w:val="24"/>
          <w:szCs w:val="24"/>
          <w:lang w:val="en-US" w:eastAsia="zh-CN" w:bidi="ar"/>
        </w:rPr>
        <w:t>4.1</w:t>
      </w:r>
      <w:r>
        <w:rPr>
          <w:rFonts w:hint="eastAsia" w:ascii="宋体" w:hAnsi="宋体" w:eastAsia="宋体" w:cs="宋体"/>
          <w:sz w:val="24"/>
          <w:szCs w:val="24"/>
          <w:lang w:bidi="ar"/>
        </w:rPr>
        <w:t>服务期内，投标人须设有7×24小时电话响应服务、具备运维团队，提供售后服务保障。团队成员应明确职责，架构清晰，岗位设置合理，且具备与本项目相关的项目经验。</w:t>
      </w:r>
    </w:p>
    <w:p>
      <w:pPr>
        <w:pStyle w:val="3"/>
        <w:snapToGrid/>
        <w:spacing w:line="360" w:lineRule="auto"/>
        <w:ind w:left="479" w:leftChars="228" w:firstLine="0" w:firstLineChars="0"/>
        <w:jc w:val="left"/>
        <w:outlineLvl w:val="9"/>
      </w:pPr>
      <w:r>
        <w:rPr>
          <w:rFonts w:hint="eastAsia" w:ascii="宋体" w:hAnsi="宋体" w:eastAsia="宋体" w:cs="宋体"/>
          <w:sz w:val="24"/>
          <w:szCs w:val="24"/>
          <w:lang w:val="en-US" w:eastAsia="zh-CN" w:bidi="ar"/>
        </w:rPr>
        <w:t>4.2</w:t>
      </w:r>
      <w:r>
        <w:rPr>
          <w:rFonts w:hint="eastAsia" w:ascii="宋体" w:hAnsi="宋体" w:eastAsia="宋体" w:cs="宋体"/>
          <w:sz w:val="24"/>
          <w:szCs w:val="24"/>
          <w:lang w:bidi="ar"/>
        </w:rPr>
        <w:t>投标人须提供</w:t>
      </w:r>
      <w:r>
        <w:rPr>
          <w:rFonts w:hint="eastAsia" w:ascii="宋体" w:hAnsi="宋体" w:eastAsia="宋体" w:cs="宋体"/>
          <w:sz w:val="24"/>
          <w:szCs w:val="24"/>
          <w:lang w:val="en-US" w:eastAsia="zh-CN" w:bidi="ar"/>
        </w:rPr>
        <w:t>1</w:t>
      </w:r>
      <w:r>
        <w:rPr>
          <w:rFonts w:hint="eastAsia" w:ascii="宋体" w:hAnsi="宋体" w:eastAsia="宋体" w:cs="宋体"/>
          <w:sz w:val="24"/>
          <w:szCs w:val="24"/>
          <w:lang w:bidi="ar"/>
        </w:rPr>
        <w:t>名项目经理</w:t>
      </w:r>
      <w:r>
        <w:rPr>
          <w:rFonts w:hint="eastAsia" w:ascii="宋体" w:hAnsi="宋体" w:eastAsia="宋体" w:cs="宋体"/>
          <w:sz w:val="24"/>
          <w:szCs w:val="24"/>
          <w:lang w:eastAsia="zh-CN" w:bidi="ar"/>
        </w:rPr>
        <w:t>、</w:t>
      </w:r>
      <w:r>
        <w:rPr>
          <w:rFonts w:hint="eastAsia" w:ascii="宋体" w:hAnsi="宋体" w:eastAsia="宋体" w:cs="宋体"/>
          <w:sz w:val="24"/>
          <w:szCs w:val="24"/>
          <w:lang w:val="en-US" w:eastAsia="zh-CN" w:bidi="ar"/>
        </w:rPr>
        <w:t>1名技术负责人和5</w:t>
      </w:r>
      <w:r>
        <w:rPr>
          <w:rFonts w:hint="eastAsia" w:ascii="宋体" w:hAnsi="宋体" w:eastAsia="宋体" w:cs="宋体"/>
          <w:sz w:val="24"/>
          <w:szCs w:val="24"/>
          <w:lang w:bidi="ar"/>
        </w:rPr>
        <w:t>名项目团队专职人员，为本项目提供服务。项目经理需按照采购人要求，承担云资源服务保障具体工作，技术支持人员要求如下：</w:t>
      </w:r>
    </w:p>
    <w:tbl>
      <w:tblPr>
        <w:tblStyle w:val="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910"/>
        <w:gridCol w:w="114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岗位名称</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岗位职责</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rPr>
            </w:pPr>
            <w:r>
              <w:rPr>
                <w:rFonts w:hint="eastAsia" w:ascii="宋体" w:hAnsi="宋体" w:eastAsia="宋体" w:cs="宋体"/>
                <w:sz w:val="21"/>
                <w:szCs w:val="21"/>
                <w:highlight w:val="none"/>
              </w:rPr>
              <w:t>人员数量</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项目经理</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项目整体协调和管理</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eastAsia="zh-CN"/>
              </w:rPr>
            </w:pPr>
            <w:r>
              <w:rPr>
                <w:rFonts w:hint="eastAsia" w:ascii="宋体" w:hAnsi="宋体" w:cs="宋体"/>
                <w:sz w:val="22"/>
                <w:szCs w:val="22"/>
              </w:rPr>
              <w:t>10年及以上从事云技术服务工作经验</w:t>
            </w:r>
            <w:r>
              <w:rPr>
                <w:rFonts w:hint="eastAsia" w:ascii="宋体" w:hAnsi="宋体" w:cs="宋体"/>
                <w:sz w:val="22"/>
                <w:szCs w:val="22"/>
                <w:lang w:eastAsia="zh-CN"/>
              </w:rPr>
              <w:t>，具有</w:t>
            </w:r>
            <w:r>
              <w:rPr>
                <w:rFonts w:hint="eastAsia" w:ascii="宋体" w:hAnsi="宋体" w:eastAsia="宋体" w:cs="宋体"/>
                <w:sz w:val="22"/>
                <w:szCs w:val="22"/>
                <w:lang w:eastAsia="zh-CN"/>
              </w:rPr>
              <w:t>信息系统项目管理师（高级）证书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技术负责人</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技术整体把控</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rPr>
            </w:pPr>
            <w:r>
              <w:rPr>
                <w:rFonts w:hint="eastAsia" w:ascii="宋体" w:hAnsi="宋体" w:cs="宋体"/>
                <w:sz w:val="22"/>
                <w:szCs w:val="22"/>
              </w:rPr>
              <w:t>5年及以上从事云技术服务工作经验</w:t>
            </w:r>
            <w:r>
              <w:rPr>
                <w:rFonts w:hint="eastAsia" w:ascii="宋体" w:hAnsi="宋体" w:cs="宋体"/>
                <w:sz w:val="22"/>
                <w:szCs w:val="22"/>
                <w:lang w:eastAsia="zh-CN"/>
              </w:rPr>
              <w:t>，具有</w:t>
            </w:r>
            <w:r>
              <w:rPr>
                <w:rFonts w:hint="eastAsia" w:ascii="宋体" w:hAnsi="宋体" w:cs="宋体"/>
                <w:sz w:val="22"/>
                <w:szCs w:val="22"/>
              </w:rPr>
              <w:t>信息安全保障人员认证证书（CISAW）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82"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项目其他人员</w:t>
            </w:r>
          </w:p>
        </w:tc>
        <w:tc>
          <w:tcPr>
            <w:tcW w:w="2910"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资源创建和调整、网络策略开通和云监控等</w:t>
            </w:r>
          </w:p>
        </w:tc>
        <w:tc>
          <w:tcPr>
            <w:tcW w:w="114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3084" w:type="dxa"/>
            <w:noWrap w:val="0"/>
            <w:vAlign w:val="top"/>
          </w:tcPr>
          <w:p>
            <w:pPr>
              <w:adjustRightInd w:val="0"/>
              <w:spacing w:line="360" w:lineRule="auto"/>
              <w:jc w:val="left"/>
              <w:textAlignment w:val="baseline"/>
              <w:outlineLvl w:val="0"/>
              <w:rPr>
                <w:rFonts w:hint="eastAsia" w:ascii="宋体" w:hAnsi="宋体" w:eastAsia="宋体" w:cs="宋体"/>
                <w:sz w:val="21"/>
                <w:szCs w:val="21"/>
                <w:highlight w:val="none"/>
              </w:rPr>
            </w:pPr>
            <w:r>
              <w:rPr>
                <w:rFonts w:hint="eastAsia" w:ascii="宋体" w:hAnsi="宋体" w:cs="宋体"/>
                <w:sz w:val="22"/>
                <w:szCs w:val="22"/>
              </w:rPr>
              <w:t>5年及以上从事云技术服务工作经验</w:t>
            </w:r>
            <w:r>
              <w:rPr>
                <w:rFonts w:hint="eastAsia" w:ascii="宋体" w:hAnsi="宋体" w:cs="宋体"/>
                <w:sz w:val="22"/>
                <w:szCs w:val="22"/>
                <w:lang w:eastAsia="zh-CN"/>
              </w:rPr>
              <w:t>，</w:t>
            </w:r>
            <w:r>
              <w:rPr>
                <w:rFonts w:hint="eastAsia" w:ascii="宋体" w:hAnsi="宋体" w:cs="宋体"/>
                <w:sz w:val="22"/>
                <w:szCs w:val="22"/>
              </w:rPr>
              <w:t>具有CISP证书</w:t>
            </w:r>
          </w:p>
        </w:tc>
      </w:tr>
    </w:tbl>
    <w:p>
      <w:pPr>
        <w:pStyle w:val="4"/>
        <w:spacing w:line="360" w:lineRule="auto"/>
        <w:rPr>
          <w:rFonts w:hint="eastAsia"/>
          <w:sz w:val="24"/>
        </w:rPr>
      </w:pPr>
      <w:r>
        <w:rPr>
          <w:rFonts w:hint="eastAsia"/>
          <w:sz w:val="24"/>
          <w:lang w:eastAsia="zh-CN"/>
        </w:rPr>
        <w:t>四、</w:t>
      </w:r>
      <w:r>
        <w:rPr>
          <w:rFonts w:hint="eastAsia"/>
          <w:sz w:val="24"/>
        </w:rPr>
        <w:t xml:space="preserve">政策性采购需求 </w:t>
      </w:r>
    </w:p>
    <w:p>
      <w:pPr>
        <w:pStyle w:val="4"/>
        <w:spacing w:line="360" w:lineRule="auto"/>
        <w:rPr>
          <w:sz w:val="24"/>
        </w:rPr>
      </w:pPr>
      <w:r>
        <w:rPr>
          <w:rFonts w:hint="eastAsia"/>
          <w:sz w:val="24"/>
        </w:rPr>
        <w:t>为在项目中充分落实《政府采购法》规定的“政府采购应当有助于实现国家的经济和社会发展政策目标”等相关要求，以项目为载体推动北京市环境社会治理(ESG)体系高质量发展，请</w:t>
      </w:r>
      <w:r>
        <w:rPr>
          <w:rFonts w:hint="eastAsia"/>
          <w:sz w:val="24"/>
          <w:lang w:eastAsia="zh-CN"/>
        </w:rPr>
        <w:t>投标人</w:t>
      </w:r>
      <w:r>
        <w:rPr>
          <w:rFonts w:hint="eastAsia"/>
          <w:sz w:val="24"/>
        </w:rPr>
        <w:t>提供在本项目中落实 ESG 理念的工作措施。</w:t>
      </w:r>
    </w:p>
    <w:p>
      <w:pPr>
        <w:pStyle w:val="4"/>
        <w:spacing w:line="360" w:lineRule="auto"/>
        <w:rPr>
          <w:sz w:val="24"/>
        </w:rPr>
      </w:pPr>
      <w:bookmarkStart w:id="8" w:name="_GoBack"/>
      <w:bookmarkEnd w:id="8"/>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F00A72"/>
    <w:multiLevelType w:val="singleLevel"/>
    <w:tmpl w:val="A4F00A72"/>
    <w:lvl w:ilvl="0" w:tentative="0">
      <w:start w:val="1"/>
      <w:numFmt w:val="decimalEnclosedCircleChinese"/>
      <w:suff w:val="nothing"/>
      <w:lvlText w:val="%1　"/>
      <w:lvlJc w:val="left"/>
      <w:pPr>
        <w:ind w:left="360" w:firstLine="400"/>
      </w:pPr>
      <w:rPr>
        <w:rFonts w:hint="eastAsia"/>
      </w:rPr>
    </w:lvl>
  </w:abstractNum>
  <w:abstractNum w:abstractNumId="1">
    <w:nsid w:val="ACEFB849"/>
    <w:multiLevelType w:val="singleLevel"/>
    <w:tmpl w:val="ACEFB849"/>
    <w:lvl w:ilvl="0" w:tentative="0">
      <w:start w:val="1"/>
      <w:numFmt w:val="decimalEnclosedCircleChinese"/>
      <w:suff w:val="nothing"/>
      <w:lvlText w:val="%1　"/>
      <w:lvlJc w:val="left"/>
      <w:pPr>
        <w:ind w:left="360" w:firstLine="400"/>
      </w:pPr>
      <w:rPr>
        <w:rFonts w:hint="eastAsia"/>
      </w:rPr>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6380B5E"/>
    <w:multiLevelType w:val="singleLevel"/>
    <w:tmpl w:val="16380B5E"/>
    <w:lvl w:ilvl="0" w:tentative="0">
      <w:start w:val="1"/>
      <w:numFmt w:val="bullet"/>
      <w:lvlText w:val=""/>
      <w:lvlJc w:val="left"/>
      <w:pPr>
        <w:ind w:left="1470" w:hanging="420"/>
      </w:pPr>
      <w:rPr>
        <w:rFonts w:hint="default" w:ascii="Wingdings" w:hAnsi="Wingdings"/>
      </w:rPr>
    </w:lvl>
  </w:abstractNum>
  <w:abstractNum w:abstractNumId="4">
    <w:nsid w:val="1917BB51"/>
    <w:multiLevelType w:val="singleLevel"/>
    <w:tmpl w:val="1917BB51"/>
    <w:lvl w:ilvl="0" w:tentative="0">
      <w:start w:val="1"/>
      <w:numFmt w:val="decimalEnclosedCircleChinese"/>
      <w:suff w:val="nothing"/>
      <w:lvlText w:val="%1　"/>
      <w:lvlJc w:val="left"/>
      <w:pPr>
        <w:ind w:left="360" w:firstLine="400"/>
      </w:pPr>
      <w:rPr>
        <w:rFonts w:hint="eastAsia"/>
      </w:rPr>
    </w:lvl>
  </w:abstractNum>
  <w:abstractNum w:abstractNumId="5">
    <w:nsid w:val="4248BA76"/>
    <w:multiLevelType w:val="singleLevel"/>
    <w:tmpl w:val="4248BA76"/>
    <w:lvl w:ilvl="0" w:tentative="0">
      <w:start w:val="1"/>
      <w:numFmt w:val="decimalEnclosedCircleChinese"/>
      <w:suff w:val="nothing"/>
      <w:lvlText w:val="%1　"/>
      <w:lvlJc w:val="left"/>
      <w:pPr>
        <w:ind w:left="360" w:firstLine="400"/>
      </w:pPr>
      <w:rPr>
        <w:rFonts w:hint="eastAsia"/>
      </w:rPr>
    </w:lvl>
  </w:abstractNum>
  <w:abstractNum w:abstractNumId="6">
    <w:nsid w:val="49F03AA4"/>
    <w:multiLevelType w:val="singleLevel"/>
    <w:tmpl w:val="49F03AA4"/>
    <w:lvl w:ilvl="0" w:tentative="0">
      <w:start w:val="1"/>
      <w:numFmt w:val="decimalEnclosedCircleChinese"/>
      <w:suff w:val="nothing"/>
      <w:lvlText w:val="%1　"/>
      <w:lvlJc w:val="left"/>
      <w:pPr>
        <w:ind w:left="360" w:firstLine="400"/>
      </w:pPr>
      <w:rPr>
        <w:rFonts w:hint="eastAsia"/>
      </w:rPr>
    </w:lvl>
  </w:abstractNum>
  <w:abstractNum w:abstractNumId="7">
    <w:nsid w:val="4FF16CE4"/>
    <w:multiLevelType w:val="singleLevel"/>
    <w:tmpl w:val="4FF16CE4"/>
    <w:lvl w:ilvl="0" w:tentative="0">
      <w:start w:val="1"/>
      <w:numFmt w:val="decimalEnclosedCircleChinese"/>
      <w:suff w:val="nothing"/>
      <w:lvlText w:val="%1　"/>
      <w:lvlJc w:val="left"/>
      <w:pPr>
        <w:ind w:left="360" w:firstLine="400"/>
      </w:pPr>
      <w:rPr>
        <w:rFonts w:hint="eastAsia"/>
      </w:rPr>
    </w:lvl>
  </w:abstractNum>
  <w:abstractNum w:abstractNumId="8">
    <w:nsid w:val="5705CD35"/>
    <w:multiLevelType w:val="singleLevel"/>
    <w:tmpl w:val="5705CD35"/>
    <w:lvl w:ilvl="0" w:tentative="0">
      <w:start w:val="1"/>
      <w:numFmt w:val="decimalEnclosedCircleChinese"/>
      <w:suff w:val="nothing"/>
      <w:lvlText w:val="%1　"/>
      <w:lvlJc w:val="left"/>
      <w:pPr>
        <w:ind w:left="360" w:firstLine="400"/>
      </w:pPr>
      <w:rPr>
        <w:rFonts w:hint="eastAsia"/>
      </w:rPr>
    </w:lvl>
  </w:abstractNum>
  <w:abstractNum w:abstractNumId="9">
    <w:nsid w:val="638DED93"/>
    <w:multiLevelType w:val="singleLevel"/>
    <w:tmpl w:val="638DED93"/>
    <w:lvl w:ilvl="0" w:tentative="0">
      <w:start w:val="1"/>
      <w:numFmt w:val="decimalEnclosedCircleChinese"/>
      <w:suff w:val="nothing"/>
      <w:lvlText w:val="%1　"/>
      <w:lvlJc w:val="left"/>
      <w:pPr>
        <w:ind w:left="360" w:firstLine="400"/>
      </w:pPr>
      <w:rPr>
        <w:rFonts w:hint="eastAsia"/>
      </w:rPr>
    </w:lvl>
  </w:abstractNum>
  <w:abstractNum w:abstractNumId="10">
    <w:nsid w:val="7D2A856E"/>
    <w:multiLevelType w:val="singleLevel"/>
    <w:tmpl w:val="7D2A856E"/>
    <w:lvl w:ilvl="0" w:tentative="0">
      <w:start w:val="1"/>
      <w:numFmt w:val="decimalEnclosedCircleChinese"/>
      <w:suff w:val="nothing"/>
      <w:lvlText w:val="%1　"/>
      <w:lvlJc w:val="left"/>
      <w:pPr>
        <w:ind w:left="360" w:firstLine="400"/>
      </w:pPr>
      <w:rPr>
        <w:rFonts w:hint="eastAsia"/>
      </w:rPr>
    </w:lvl>
  </w:abstractNum>
  <w:abstractNum w:abstractNumId="11">
    <w:nsid w:val="7E721ACC"/>
    <w:multiLevelType w:val="singleLevel"/>
    <w:tmpl w:val="7E721ACC"/>
    <w:lvl w:ilvl="0" w:tentative="0">
      <w:start w:val="1"/>
      <w:numFmt w:val="decimalEnclosedCircleChinese"/>
      <w:suff w:val="nothing"/>
      <w:lvlText w:val="%1　"/>
      <w:lvlJc w:val="left"/>
      <w:pPr>
        <w:ind w:left="360" w:firstLine="400"/>
      </w:pPr>
      <w:rPr>
        <w:rFonts w:hint="eastAsia"/>
      </w:rPr>
    </w:lvl>
  </w:abstractNum>
  <w:num w:numId="1">
    <w:abstractNumId w:val="2"/>
  </w:num>
  <w:num w:numId="2">
    <w:abstractNumId w:val="5"/>
  </w:num>
  <w:num w:numId="3">
    <w:abstractNumId w:val="3"/>
  </w:num>
  <w:num w:numId="4">
    <w:abstractNumId w:val="11"/>
  </w:num>
  <w:num w:numId="5">
    <w:abstractNumId w:val="10"/>
  </w:num>
  <w:num w:numId="6">
    <w:abstractNumId w:val="1"/>
  </w:num>
  <w:num w:numId="7">
    <w:abstractNumId w:val="6"/>
  </w:num>
  <w:num w:numId="8">
    <w:abstractNumId w:val="0"/>
  </w:num>
  <w:num w:numId="9">
    <w:abstractNumId w:val="7"/>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86C95"/>
    <w:rsid w:val="1FB64E8E"/>
    <w:rsid w:val="3F402DB5"/>
    <w:rsid w:val="5C531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仿宋_GB2312" w:hAnsi="宋体" w:eastAsia="仿宋_GB2312"/>
      <w:color w:val="000000"/>
      <w:sz w:val="24"/>
    </w:r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annotation text"/>
    <w:basedOn w:val="1"/>
    <w:qFormat/>
    <w:uiPriority w:val="99"/>
    <w:pPr>
      <w:jc w:val="left"/>
    </w:pPr>
  </w:style>
  <w:style w:type="paragraph" w:styleId="7">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2026-02-13T08:19:00Z</dcterms:created>
  <dc:creator>user</dc:creator>
  <cp:lastModifiedBy>11</cp:lastModifiedBy>
  <dcterms:modified xsi:type="dcterms:W3CDTF">2026-03-13T07:18:36Z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